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F42F" w14:textId="77777777" w:rsidR="005913C9" w:rsidRDefault="005913C9" w:rsidP="005913C9">
      <w:pPr>
        <w:rPr>
          <w:b/>
          <w:bCs/>
        </w:rPr>
      </w:pPr>
    </w:p>
    <w:p w14:paraId="36C1212A" w14:textId="61FBE6E0" w:rsidR="005913C9" w:rsidRPr="005913C9" w:rsidRDefault="005913C9" w:rsidP="003547BF">
      <w:pPr>
        <w:jc w:val="center"/>
      </w:pPr>
      <w:r w:rsidRPr="005913C9">
        <w:rPr>
          <w:b/>
          <w:bCs/>
        </w:rPr>
        <w:t>The Care Workers’ Charity: Monthly Briefing</w:t>
      </w:r>
    </w:p>
    <w:p w14:paraId="2A2228D8" w14:textId="2251945B" w:rsidR="005913C9" w:rsidRPr="005913C9" w:rsidRDefault="005913C9" w:rsidP="005913C9">
      <w:r w:rsidRPr="005913C9">
        <w:rPr>
          <w:b/>
          <w:bCs/>
        </w:rPr>
        <w:t xml:space="preserve">Date: </w:t>
      </w:r>
      <w:r w:rsidRPr="005913C9">
        <w:t>Ju</w:t>
      </w:r>
      <w:r>
        <w:t>ly</w:t>
      </w:r>
      <w:r w:rsidRPr="005913C9">
        <w:t xml:space="preserve"> 2025</w:t>
      </w:r>
      <w:r w:rsidRPr="005913C9">
        <w:rPr>
          <w:rFonts w:ascii="Arial" w:hAnsi="Arial" w:cs="Arial"/>
        </w:rPr>
        <w:t> </w:t>
      </w:r>
      <w:r w:rsidRPr="005913C9">
        <w:t> </w:t>
      </w:r>
    </w:p>
    <w:p w14:paraId="7B859F1C" w14:textId="77777777" w:rsidR="005913C9" w:rsidRPr="005913C9" w:rsidRDefault="005913C9" w:rsidP="005913C9">
      <w:r w:rsidRPr="005913C9">
        <w:rPr>
          <w:b/>
          <w:bCs/>
        </w:rPr>
        <w:t xml:space="preserve">Introduction: </w:t>
      </w:r>
      <w:r w:rsidRPr="005913C9">
        <w:rPr>
          <w:lang w:val="en-US"/>
        </w:rPr>
        <w:t>The Care Workers Charity (CWC) committed to support and advocate for care workers across the UK. Each month, we collect insights and updates from our advocacy efforts, the Care Worker Advisory Board, and data collected from crisis grants and online communications with care workers. This briefing aims to inform policymakers and stakeholders of the ongoing challenges for the care sector workforce and the collective action needed to address them.</w:t>
      </w:r>
      <w:r w:rsidRPr="005913C9">
        <w:rPr>
          <w:rFonts w:ascii="Arial" w:hAnsi="Arial" w:cs="Arial"/>
          <w:b/>
          <w:bCs/>
        </w:rPr>
        <w:t> </w:t>
      </w:r>
      <w:r w:rsidRPr="005913C9">
        <w:rPr>
          <w:rFonts w:ascii="Arial" w:hAnsi="Arial" w:cs="Arial"/>
        </w:rPr>
        <w:t> </w:t>
      </w:r>
      <w:r w:rsidRPr="005913C9">
        <w:t> </w:t>
      </w:r>
    </w:p>
    <w:p w14:paraId="503601A9" w14:textId="77777777" w:rsidR="005913C9" w:rsidRPr="005913C9" w:rsidRDefault="005913C9" w:rsidP="005913C9">
      <w:r w:rsidRPr="005913C9">
        <w:rPr>
          <w:b/>
          <w:bCs/>
          <w:u w:val="single"/>
          <w:lang w:val="en-US"/>
        </w:rPr>
        <w:t>1.Advocacy Work Updates:</w:t>
      </w:r>
      <w:r w:rsidRPr="005913C9">
        <w:rPr>
          <w:b/>
          <w:bCs/>
          <w:lang w:val="en-US"/>
        </w:rPr>
        <w:t xml:space="preserve"> </w:t>
      </w:r>
      <w:r w:rsidRPr="005913C9">
        <w:rPr>
          <w:lang w:val="en-US"/>
        </w:rPr>
        <w:t>CWC continues to represent care worker voices at key stakeholder meetings, including:</w:t>
      </w:r>
      <w:r w:rsidRPr="005913C9">
        <w:rPr>
          <w:rFonts w:ascii="Arial" w:hAnsi="Arial" w:cs="Arial"/>
        </w:rPr>
        <w:t>  </w:t>
      </w:r>
      <w:r w:rsidRPr="005913C9">
        <w:t> </w:t>
      </w:r>
    </w:p>
    <w:p w14:paraId="42EAA06A" w14:textId="77777777" w:rsidR="005913C9" w:rsidRPr="005913C9" w:rsidRDefault="005913C9" w:rsidP="005913C9">
      <w:pPr>
        <w:numPr>
          <w:ilvl w:val="0"/>
          <w:numId w:val="1"/>
        </w:numPr>
      </w:pPr>
      <w:r w:rsidRPr="005913C9">
        <w:t>Skills for Care – Workforce Strategy Oversight Executive Meeting Group</w:t>
      </w:r>
      <w:r w:rsidRPr="005913C9">
        <w:rPr>
          <w:rFonts w:ascii="Arial" w:hAnsi="Arial" w:cs="Arial"/>
        </w:rPr>
        <w:t> </w:t>
      </w:r>
      <w:r w:rsidRPr="005913C9">
        <w:t> </w:t>
      </w:r>
    </w:p>
    <w:p w14:paraId="3E18CB30" w14:textId="77777777" w:rsidR="005913C9" w:rsidRPr="005913C9" w:rsidRDefault="005913C9" w:rsidP="005913C9">
      <w:pPr>
        <w:numPr>
          <w:ilvl w:val="0"/>
          <w:numId w:val="2"/>
        </w:numPr>
      </w:pPr>
      <w:r w:rsidRPr="005913C9">
        <w:t>Department of Health and Social Care – Workforce Advisory Group</w:t>
      </w:r>
      <w:r w:rsidRPr="005913C9">
        <w:rPr>
          <w:rFonts w:ascii="Arial" w:hAnsi="Arial" w:cs="Arial"/>
        </w:rPr>
        <w:t> </w:t>
      </w:r>
      <w:r w:rsidRPr="005913C9">
        <w:t> </w:t>
      </w:r>
    </w:p>
    <w:p w14:paraId="5837D19E" w14:textId="77777777" w:rsidR="005913C9" w:rsidRPr="005913C9" w:rsidRDefault="005913C9" w:rsidP="005913C9">
      <w:pPr>
        <w:numPr>
          <w:ilvl w:val="0"/>
          <w:numId w:val="3"/>
        </w:numPr>
      </w:pPr>
      <w:r w:rsidRPr="005913C9">
        <w:t>Oxford University’s Responsible Use of Generative AI Steering Committee</w:t>
      </w:r>
      <w:r w:rsidRPr="005913C9">
        <w:rPr>
          <w:rFonts w:ascii="Arial" w:hAnsi="Arial" w:cs="Arial"/>
        </w:rPr>
        <w:t> </w:t>
      </w:r>
      <w:r w:rsidRPr="005913C9">
        <w:t> </w:t>
      </w:r>
    </w:p>
    <w:p w14:paraId="70718ACA" w14:textId="77777777" w:rsidR="005913C9" w:rsidRPr="005913C9" w:rsidRDefault="005913C9" w:rsidP="005913C9">
      <w:pPr>
        <w:numPr>
          <w:ilvl w:val="0"/>
          <w:numId w:val="4"/>
        </w:numPr>
      </w:pPr>
      <w:r w:rsidRPr="005913C9">
        <w:t>IMPACT</w:t>
      </w:r>
      <w:r w:rsidRPr="005913C9">
        <w:rPr>
          <w:rFonts w:ascii="Arial" w:hAnsi="Arial" w:cs="Arial"/>
        </w:rPr>
        <w:t>  </w:t>
      </w:r>
      <w:r w:rsidRPr="005913C9">
        <w:t> </w:t>
      </w:r>
    </w:p>
    <w:p w14:paraId="4EE652E8" w14:textId="77777777" w:rsidR="005913C9" w:rsidRPr="005913C9" w:rsidRDefault="005913C9" w:rsidP="005913C9">
      <w:pPr>
        <w:numPr>
          <w:ilvl w:val="0"/>
          <w:numId w:val="5"/>
        </w:numPr>
      </w:pPr>
      <w:r w:rsidRPr="005913C9">
        <w:t>Centre for Care</w:t>
      </w:r>
      <w:r w:rsidRPr="005913C9">
        <w:rPr>
          <w:rFonts w:ascii="Arial" w:hAnsi="Arial" w:cs="Arial"/>
        </w:rPr>
        <w:t> </w:t>
      </w:r>
      <w:r w:rsidRPr="005913C9">
        <w:t> </w:t>
      </w:r>
    </w:p>
    <w:p w14:paraId="75075AEE" w14:textId="77777777" w:rsidR="005913C9" w:rsidRPr="005913C9" w:rsidRDefault="005913C9" w:rsidP="005913C9">
      <w:pPr>
        <w:numPr>
          <w:ilvl w:val="0"/>
          <w:numId w:val="6"/>
        </w:numPr>
      </w:pPr>
      <w:r w:rsidRPr="005913C9">
        <w:t>Throughout the month, our CEO has actively participated in multiple meetings and webinars to ensure the experiences and perspectives of care workers are consistently represented at national and sectoral levels. </w:t>
      </w:r>
    </w:p>
    <w:p w14:paraId="34ADEDFC" w14:textId="09D0431A" w:rsidR="005913C9" w:rsidRPr="005913C9" w:rsidRDefault="005913C9" w:rsidP="005913C9">
      <w:r w:rsidRPr="005913C9">
        <w:rPr>
          <w:b/>
          <w:bCs/>
          <w:u w:val="single"/>
        </w:rPr>
        <w:t>2. Insights from The Care Worker Advisory Board and Champions Project:</w:t>
      </w:r>
      <w:r w:rsidRPr="005913C9">
        <w:rPr>
          <w:rFonts w:ascii="Arial" w:hAnsi="Arial" w:cs="Arial"/>
        </w:rPr>
        <w:t> </w:t>
      </w:r>
      <w:r w:rsidRPr="005913C9">
        <w:t> </w:t>
      </w:r>
    </w:p>
    <w:p w14:paraId="0A977F14" w14:textId="3872F58B" w:rsidR="003547BF" w:rsidRDefault="003547BF" w:rsidP="00426FFF">
      <w:pPr>
        <w:numPr>
          <w:ilvl w:val="0"/>
          <w:numId w:val="8"/>
        </w:numPr>
      </w:pPr>
      <w:r w:rsidRPr="003547BF">
        <w:t xml:space="preserve">Earlier this month, we held a dedicated meeting with members of our Care Worker Advisory Board to present and discuss a series of early-stage proposals. The aim of this session was to gather honest feedback from those with lived experience in care, ensuring that any developments reflect the needs and priorities of care workers themselves. The group offered valuable insight, which will directly inform how we shape and move these proposals forward. In addition to this, we centred the discussion around increasing </w:t>
      </w:r>
      <w:r w:rsidRPr="003547BF">
        <w:rPr>
          <w:b/>
          <w:bCs/>
        </w:rPr>
        <w:t>visibility</w:t>
      </w:r>
      <w:r w:rsidRPr="003547BF">
        <w:t xml:space="preserve"> of the Advisory Board and Champions Project. Members shared ideas on how we can further raise awareness, both internally within the sector and externally, with the public and media, to ensure that the voices of care workers continue to be heard and respected</w:t>
      </w:r>
      <w:r w:rsidR="00426FFF">
        <w:t>.</w:t>
      </w:r>
    </w:p>
    <w:p w14:paraId="73361D70" w14:textId="77777777" w:rsidR="00426FFF" w:rsidRDefault="00426FFF" w:rsidP="00426FFF"/>
    <w:p w14:paraId="687D38DA" w14:textId="77777777" w:rsidR="00426FFF" w:rsidRDefault="00426FFF" w:rsidP="00426FFF"/>
    <w:p w14:paraId="30D8F65C" w14:textId="77777777" w:rsidR="003547BF" w:rsidRDefault="003547BF" w:rsidP="003547BF">
      <w:pPr>
        <w:ind w:left="720"/>
      </w:pPr>
    </w:p>
    <w:p w14:paraId="67CBA687" w14:textId="77777777" w:rsidR="003547BF" w:rsidRDefault="005913C9" w:rsidP="005913C9">
      <w:pPr>
        <w:numPr>
          <w:ilvl w:val="0"/>
          <w:numId w:val="8"/>
        </w:numPr>
      </w:pPr>
      <w:r w:rsidRPr="005913C9">
        <w:t>Several of our Advisory Board and Champion Group members have been actively involved in media opportunities throughout the month, helping to raise the profile of care workers and share their stories more widely. </w:t>
      </w:r>
    </w:p>
    <w:p w14:paraId="6DD625D1" w14:textId="25EFA015" w:rsidR="003547BF" w:rsidRDefault="003547BF" w:rsidP="005913C9">
      <w:pPr>
        <w:numPr>
          <w:ilvl w:val="0"/>
          <w:numId w:val="8"/>
        </w:numPr>
      </w:pPr>
      <w:r w:rsidRPr="003547BF">
        <w:t xml:space="preserve">On 11th </w:t>
      </w:r>
      <w:proofErr w:type="gramStart"/>
      <w:r w:rsidRPr="003547BF">
        <w:t>July,</w:t>
      </w:r>
      <w:proofErr w:type="gramEnd"/>
      <w:r w:rsidRPr="003547BF">
        <w:t xml:space="preserve"> 20 care workers from our network attended a roundtable hosted by the Centre for Care at the University of Sheffield. The event provided a valuable space for open discussion, where care workers shared their first-hand experiences and challenges. They also engaged with researchers, reviewing current findings and identifying gaps in the existing body of</w:t>
      </w:r>
      <w:r>
        <w:t xml:space="preserve"> work</w:t>
      </w:r>
      <w:r w:rsidRPr="003547BF">
        <w:t>. The event was both productive and empowering, allowing care workers to actively shape the direction of future research in the social care field. Feedback from participants highlighted the importance of continued collaboration between academic bodies and those delivering frontline care.</w:t>
      </w:r>
    </w:p>
    <w:p w14:paraId="2BAB92AC" w14:textId="69654A09" w:rsidR="005913C9" w:rsidRPr="005913C9" w:rsidRDefault="005913C9" w:rsidP="005913C9">
      <w:r w:rsidRPr="005913C9">
        <w:rPr>
          <w:b/>
          <w:bCs/>
          <w:u w:val="single"/>
        </w:rPr>
        <w:t>3.Financial Grants:</w:t>
      </w:r>
      <w:r w:rsidRPr="005913C9">
        <w:t> </w:t>
      </w:r>
    </w:p>
    <w:p w14:paraId="063D01F0" w14:textId="0B72B9F6" w:rsidR="003547BF" w:rsidRPr="003547BF" w:rsidRDefault="003547BF" w:rsidP="003547BF">
      <w:pPr>
        <w:pStyle w:val="ListParagraph"/>
        <w:numPr>
          <w:ilvl w:val="0"/>
          <w:numId w:val="19"/>
        </w:numPr>
      </w:pPr>
      <w:r w:rsidRPr="003547BF">
        <w:t>Total number of Applications received – 41 (includes financial applications at all current stages for all grants)</w:t>
      </w:r>
    </w:p>
    <w:p w14:paraId="6D800CE8" w14:textId="1227CA77" w:rsidR="003547BF" w:rsidRPr="003547BF" w:rsidRDefault="003547BF" w:rsidP="003547BF">
      <w:pPr>
        <w:pStyle w:val="ListParagraph"/>
        <w:numPr>
          <w:ilvl w:val="0"/>
          <w:numId w:val="19"/>
        </w:numPr>
      </w:pPr>
      <w:r w:rsidRPr="003547BF">
        <w:t>Total amount spent this month – £7,012.50</w:t>
      </w:r>
    </w:p>
    <w:p w14:paraId="647C0D60" w14:textId="04E7E004" w:rsidR="003547BF" w:rsidRPr="003547BF" w:rsidRDefault="003547BF" w:rsidP="003547BF">
      <w:pPr>
        <w:pStyle w:val="ListParagraph"/>
        <w:numPr>
          <w:ilvl w:val="0"/>
          <w:numId w:val="19"/>
        </w:numPr>
      </w:pPr>
      <w:r w:rsidRPr="003547BF">
        <w:t xml:space="preserve">Majority of the grants were awarded via </w:t>
      </w:r>
      <w:proofErr w:type="spellStart"/>
      <w:r w:rsidRPr="003547BF">
        <w:t>Cartrefi</w:t>
      </w:r>
      <w:proofErr w:type="spellEnd"/>
      <w:r w:rsidRPr="003547BF">
        <w:t>, Crisis grants, East of England Refugee fund.</w:t>
      </w:r>
    </w:p>
    <w:p w14:paraId="061A07B3" w14:textId="0B21B37F" w:rsidR="003547BF" w:rsidRPr="003547BF" w:rsidRDefault="003547BF" w:rsidP="003547BF">
      <w:pPr>
        <w:pStyle w:val="ListParagraph"/>
        <w:numPr>
          <w:ilvl w:val="0"/>
          <w:numId w:val="19"/>
        </w:numPr>
      </w:pPr>
      <w:r w:rsidRPr="003547BF">
        <w:t>Applications this month were towards 8 areas in care workers lives that require financial support. These were (in order of high applications) Daily Living Costs, Car Repairs, Household items, Debt Relief Order, Funeral Grant, Preventing Eviction, Moving costs and Whitegoods.</w:t>
      </w:r>
    </w:p>
    <w:p w14:paraId="2FA6201E" w14:textId="66A93306" w:rsidR="003547BF" w:rsidRPr="003547BF" w:rsidRDefault="003547BF" w:rsidP="003547BF">
      <w:pPr>
        <w:pStyle w:val="ListParagraph"/>
        <w:numPr>
          <w:ilvl w:val="0"/>
          <w:numId w:val="19"/>
        </w:numPr>
      </w:pPr>
      <w:r w:rsidRPr="003547BF">
        <w:t>High number of care assistants/Care workers applied for a financial grant followed by support workers.</w:t>
      </w:r>
    </w:p>
    <w:p w14:paraId="65CB741C" w14:textId="1265E184" w:rsidR="003547BF" w:rsidRDefault="003547BF" w:rsidP="008D4961">
      <w:pPr>
        <w:pStyle w:val="ListParagraph"/>
        <w:numPr>
          <w:ilvl w:val="0"/>
          <w:numId w:val="19"/>
        </w:numPr>
      </w:pPr>
      <w:r w:rsidRPr="003547BF">
        <w:t>Care workers continue to struggle with daily living costs along with travel related expenses with so many continuously using their savings or majority of their monthly pay towards car repairs. With heavy usage of funds on just to be able to get to work on time and keep up to date with priority bills, it leaves very little leverage for care workers to save money should and emergency happen. The rise in costs is affecting so many care workers in all areas which means they are finding it very difficult to survive from one month to another. The stress of debt and other rise in costs is deteriorating care workers mental health as well</w:t>
      </w:r>
      <w:r w:rsidR="00426FFF">
        <w:t>.</w:t>
      </w:r>
    </w:p>
    <w:p w14:paraId="534BF9D9" w14:textId="77777777" w:rsidR="00426FFF" w:rsidRDefault="00426FFF" w:rsidP="00426FFF"/>
    <w:p w14:paraId="3E6F1302" w14:textId="77777777" w:rsidR="00426FFF" w:rsidRDefault="00426FFF" w:rsidP="00426FFF"/>
    <w:p w14:paraId="13D33BFC" w14:textId="77777777" w:rsidR="00426FFF" w:rsidRDefault="00426FFF" w:rsidP="00426FFF"/>
    <w:p w14:paraId="2631EBB6" w14:textId="77777777" w:rsidR="003547BF" w:rsidRPr="005913C9" w:rsidRDefault="003547BF" w:rsidP="003547BF">
      <w:pPr>
        <w:pStyle w:val="ListParagraph"/>
      </w:pPr>
    </w:p>
    <w:p w14:paraId="46AE6905" w14:textId="77777777" w:rsidR="005913C9" w:rsidRDefault="005913C9" w:rsidP="005913C9">
      <w:r w:rsidRPr="005913C9">
        <w:rPr>
          <w:b/>
          <w:bCs/>
          <w:u w:val="single"/>
        </w:rPr>
        <w:t>4.Mental Health Wellbeing (MHWB)</w:t>
      </w:r>
      <w:r w:rsidRPr="005913C9">
        <w:t> </w:t>
      </w:r>
    </w:p>
    <w:p w14:paraId="60900E46" w14:textId="63F6020C" w:rsidR="003547BF" w:rsidRPr="005913C9" w:rsidRDefault="003547BF" w:rsidP="003547BF">
      <w:pPr>
        <w:pStyle w:val="ListParagraph"/>
        <w:numPr>
          <w:ilvl w:val="0"/>
          <w:numId w:val="18"/>
        </w:numPr>
      </w:pPr>
      <w:r w:rsidRPr="003547BF">
        <w:t>We received a total of 2 applications and currently spent £648. Care workers have citied anxiety, depression and stress as the reason for wanting to receive counselling sessions. This is a combination of past trauma that they have not dealt with and financial worries as well as feeling burnt out with their jobs.</w:t>
      </w:r>
    </w:p>
    <w:p w14:paraId="5760B95A" w14:textId="26486C6A" w:rsidR="000606B8" w:rsidRDefault="00D52459">
      <w:pPr>
        <w:rPr>
          <w:b/>
          <w:bCs/>
          <w:u w:val="single"/>
        </w:rPr>
      </w:pPr>
      <w:r>
        <w:rPr>
          <w:b/>
          <w:bCs/>
          <w:u w:val="single"/>
        </w:rPr>
        <w:t>5. Success Stories and Positive Outcomes</w:t>
      </w:r>
    </w:p>
    <w:p w14:paraId="3DA52B4F" w14:textId="08A0750A" w:rsidR="0061157E" w:rsidRDefault="0061157E" w:rsidP="0061157E">
      <w:r>
        <w:t xml:space="preserve">Pradesh’s wife of 16 years passed away, seven weeks after a diagnosis of cancer. After her redundancy, Pradesh continued working as a senior care worker in domiciliary care. </w:t>
      </w:r>
    </w:p>
    <w:p w14:paraId="4FBF71F6" w14:textId="77777777" w:rsidR="0061157E" w:rsidRPr="0061157E" w:rsidRDefault="0061157E" w:rsidP="0061157E">
      <w:r w:rsidRPr="0061157E">
        <w:t>“Whilst we were attending appointments and investigating treatment options, her condition deteriorated rapidly, and she sadly passed away.”</w:t>
      </w:r>
    </w:p>
    <w:p w14:paraId="7E83BFC8" w14:textId="77777777" w:rsidR="0061157E" w:rsidRPr="0061157E" w:rsidRDefault="0061157E" w:rsidP="0061157E">
      <w:r w:rsidRPr="0061157E">
        <w:t>Following her death, Pradesh was left as the sole parent to their three children. His employer offered incredible support, continuing to pay part of his salary so he could be at home with his family.</w:t>
      </w:r>
    </w:p>
    <w:p w14:paraId="75755403" w14:textId="77777777" w:rsidR="0061157E" w:rsidRPr="0061157E" w:rsidRDefault="0061157E" w:rsidP="0061157E">
      <w:r w:rsidRPr="0061157E">
        <w:t>Pradesh applied for a Crisis Grant from The Care Workers’ Charity and was awarded a contribution towards the funeral costs.</w:t>
      </w:r>
    </w:p>
    <w:p w14:paraId="3124DC8B" w14:textId="77777777" w:rsidR="0061157E" w:rsidRPr="0061157E" w:rsidRDefault="0061157E" w:rsidP="0061157E">
      <w:r w:rsidRPr="0061157E">
        <w:t>“I’m back at work part-time and I now have childcare in place. Everyone has been so kind to my family — including The Care Workers’ Charity.”</w:t>
      </w:r>
    </w:p>
    <w:p w14:paraId="4F67E9E8" w14:textId="76535A2A" w:rsidR="00D52459" w:rsidRDefault="0061157E">
      <w:pPr>
        <w:rPr>
          <w:b/>
          <w:bCs/>
          <w:u w:val="single"/>
        </w:rPr>
      </w:pPr>
      <w:r>
        <w:rPr>
          <w:b/>
          <w:bCs/>
          <w:u w:val="single"/>
        </w:rPr>
        <w:t>6. Calls to Action:</w:t>
      </w:r>
    </w:p>
    <w:p w14:paraId="65B90317" w14:textId="096CCBB9" w:rsidR="0061157E" w:rsidRDefault="0061157E">
      <w:r>
        <w:t>We urge MP’s and stakeholders to take the following action:</w:t>
      </w:r>
    </w:p>
    <w:p w14:paraId="240682D2" w14:textId="14BC27DC" w:rsidR="0061157E" w:rsidRDefault="0061157E" w:rsidP="0061157E">
      <w:pPr>
        <w:pStyle w:val="ListParagraph"/>
        <w:numPr>
          <w:ilvl w:val="0"/>
          <w:numId w:val="18"/>
        </w:numPr>
      </w:pPr>
      <w:r w:rsidRPr="0061157E">
        <w:rPr>
          <w:b/>
          <w:bCs/>
          <w:lang w:val="en-US"/>
        </w:rPr>
        <w:t>Fair Pay Agreement</w:t>
      </w:r>
      <w:r w:rsidRPr="0061157E">
        <w:t xml:space="preserve"> - We urge MPs and stakeholders to fully commit to delivering a </w:t>
      </w:r>
      <w:r w:rsidRPr="0061157E">
        <w:rPr>
          <w:i/>
          <w:iCs/>
        </w:rPr>
        <w:t>funded and enforceable Fair Pay Agreement</w:t>
      </w:r>
      <w:r w:rsidRPr="0061157E">
        <w:t xml:space="preserve"> for the adult social care sector. Ongoing engagement with care workers must be embedded throughout the process to ensure the agreement reflects the realities of the workforce it seeks to support. </w:t>
      </w:r>
    </w:p>
    <w:p w14:paraId="4A74C178" w14:textId="77777777" w:rsidR="00426FFF" w:rsidRPr="00426FFF" w:rsidRDefault="00426FFF" w:rsidP="00426FFF">
      <w:pPr>
        <w:pStyle w:val="ListParagraph"/>
        <w:numPr>
          <w:ilvl w:val="0"/>
          <w:numId w:val="18"/>
        </w:numPr>
      </w:pPr>
      <w:r w:rsidRPr="00426FFF">
        <w:rPr>
          <w:b/>
          <w:bCs/>
        </w:rPr>
        <w:t xml:space="preserve">Prioritise Funding for Mental Wellbeing: </w:t>
      </w:r>
      <w:r w:rsidRPr="00426FFF">
        <w:t>Ensure care workers have dedicated funding for mental health and wellbeing support, including access to counselling and peer support – recognising the emotional demands of care work.  </w:t>
      </w:r>
    </w:p>
    <w:p w14:paraId="7C2EE46B" w14:textId="4FC6115F" w:rsidR="00426FFF" w:rsidRDefault="00426FFF" w:rsidP="00426FFF">
      <w:pPr>
        <w:pStyle w:val="ListParagraph"/>
        <w:numPr>
          <w:ilvl w:val="0"/>
          <w:numId w:val="18"/>
        </w:numPr>
      </w:pPr>
      <w:r w:rsidRPr="00426FFF">
        <w:rPr>
          <w:b/>
          <w:bCs/>
        </w:rPr>
        <w:t xml:space="preserve">Champion Co-Production: </w:t>
      </w:r>
      <w:r w:rsidRPr="00426FFF">
        <w:t>Embed care worker co-production into the design on policies, training and workplace practises. Support and promote initiatives that embed care worker voices at every stage</w:t>
      </w:r>
      <w:r>
        <w:t>.</w:t>
      </w:r>
    </w:p>
    <w:p w14:paraId="0454303C" w14:textId="77777777" w:rsidR="00426FFF" w:rsidRDefault="00426FFF" w:rsidP="00426FFF"/>
    <w:p w14:paraId="20ADA58D" w14:textId="77777777" w:rsidR="00426FFF" w:rsidRDefault="00426FFF" w:rsidP="00426FFF"/>
    <w:p w14:paraId="013BF3F4" w14:textId="77777777" w:rsidR="00426FFF" w:rsidRDefault="00426FFF" w:rsidP="00426FFF"/>
    <w:p w14:paraId="51CA439E" w14:textId="77777777" w:rsidR="00426FFF" w:rsidRDefault="00426FFF" w:rsidP="00426FFF"/>
    <w:p w14:paraId="73532736" w14:textId="77777777" w:rsidR="00426FFF" w:rsidRPr="00426FFF" w:rsidRDefault="00426FFF" w:rsidP="00426FFF"/>
    <w:p w14:paraId="2DFDD62E" w14:textId="77777777" w:rsidR="00426FFF" w:rsidRPr="00426FFF" w:rsidRDefault="00426FFF" w:rsidP="00426FFF">
      <w:pPr>
        <w:pStyle w:val="ListParagraph"/>
        <w:numPr>
          <w:ilvl w:val="0"/>
          <w:numId w:val="18"/>
        </w:numPr>
      </w:pPr>
      <w:r w:rsidRPr="00426FFF">
        <w:rPr>
          <w:b/>
          <w:bCs/>
        </w:rPr>
        <w:t xml:space="preserve">Address the Continued Impact of the Cost-of-Living Pressures in the Care Sector: </w:t>
      </w:r>
      <w:r w:rsidRPr="00426FFF">
        <w:t>Push and advocate for an urgent review of pay, travel expense reimbursements, sick pay and financial protections for care workers.</w:t>
      </w:r>
      <w:r w:rsidRPr="00426FFF">
        <w:rPr>
          <w:b/>
          <w:bCs/>
          <w:i/>
          <w:iCs/>
        </w:rPr>
        <w:t> </w:t>
      </w:r>
      <w:r w:rsidRPr="00426FFF">
        <w:t> </w:t>
      </w:r>
    </w:p>
    <w:p w14:paraId="7E0E7F8B" w14:textId="77777777" w:rsidR="00426FFF" w:rsidRPr="00426FFF" w:rsidRDefault="00426FFF" w:rsidP="00426FFF">
      <w:pPr>
        <w:pStyle w:val="ListParagraph"/>
        <w:numPr>
          <w:ilvl w:val="0"/>
          <w:numId w:val="18"/>
        </w:numPr>
      </w:pPr>
      <w:r w:rsidRPr="00426FFF">
        <w:rPr>
          <w:b/>
          <w:bCs/>
        </w:rPr>
        <w:t xml:space="preserve">Delegated Health Tasks: </w:t>
      </w:r>
      <w:r w:rsidRPr="00426FFF">
        <w:t>Introduce clear national guidance and protections for delegated healthcare tasks, ensuring care workers receive proper pay, training, consent, and support, with no expectation to carry out medical duties beyond their role or competence. </w:t>
      </w:r>
    </w:p>
    <w:p w14:paraId="006B34C4" w14:textId="77777777" w:rsidR="00426FFF" w:rsidRDefault="00426FFF" w:rsidP="00426FFF">
      <w:pPr>
        <w:ind w:left="360"/>
        <w:rPr>
          <w:lang w:val="en-US"/>
        </w:rPr>
      </w:pPr>
    </w:p>
    <w:p w14:paraId="0D3FF9BA" w14:textId="3849C083" w:rsidR="00426FFF" w:rsidRPr="00426FFF" w:rsidRDefault="00426FFF" w:rsidP="00426FFF">
      <w:pPr>
        <w:ind w:left="360"/>
      </w:pPr>
      <w:r w:rsidRPr="00426FFF">
        <w:rPr>
          <w:lang w:val="en-US"/>
        </w:rPr>
        <w:t xml:space="preserve">For further information or to discuss any points raised, please contact us at: </w:t>
      </w:r>
      <w:hyperlink r:id="rId10" w:tgtFrame="_blank" w:history="1">
        <w:r w:rsidRPr="00426FFF">
          <w:rPr>
            <w:rStyle w:val="Hyperlink"/>
            <w:lang w:val="en-US"/>
          </w:rPr>
          <w:t>olivia@thecwc.org.uk</w:t>
        </w:r>
      </w:hyperlink>
      <w:r w:rsidRPr="00426FFF">
        <w:rPr>
          <w:lang w:val="en-US"/>
        </w:rPr>
        <w:t> </w:t>
      </w:r>
      <w:r w:rsidRPr="00426FFF">
        <w:t> </w:t>
      </w:r>
    </w:p>
    <w:p w14:paraId="64EB50E0" w14:textId="77777777" w:rsidR="00426FFF" w:rsidRPr="0061157E" w:rsidRDefault="00426FFF" w:rsidP="00426FFF"/>
    <w:sectPr w:rsidR="00426FFF" w:rsidRPr="0061157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9F74" w14:textId="77777777" w:rsidR="005913C9" w:rsidRDefault="005913C9" w:rsidP="005913C9">
      <w:pPr>
        <w:spacing w:after="0" w:line="240" w:lineRule="auto"/>
      </w:pPr>
      <w:r>
        <w:separator/>
      </w:r>
    </w:p>
  </w:endnote>
  <w:endnote w:type="continuationSeparator" w:id="0">
    <w:p w14:paraId="0ECA5E68" w14:textId="77777777" w:rsidR="005913C9" w:rsidRDefault="005913C9" w:rsidP="0059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1A40" w14:textId="77777777" w:rsidR="005913C9" w:rsidRDefault="005913C9" w:rsidP="005913C9">
      <w:pPr>
        <w:spacing w:after="0" w:line="240" w:lineRule="auto"/>
      </w:pPr>
      <w:r>
        <w:separator/>
      </w:r>
    </w:p>
  </w:footnote>
  <w:footnote w:type="continuationSeparator" w:id="0">
    <w:p w14:paraId="08D54A8B" w14:textId="77777777" w:rsidR="005913C9" w:rsidRDefault="005913C9" w:rsidP="00591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BE82" w14:textId="77777777" w:rsidR="003547BF" w:rsidRPr="003547BF" w:rsidRDefault="003547BF" w:rsidP="003547BF">
    <w:pPr>
      <w:spacing w:before="100" w:beforeAutospacing="1" w:after="100" w:afterAutospacing="1" w:line="240" w:lineRule="auto"/>
      <w:rPr>
        <w:rFonts w:ascii="Times New Roman" w:eastAsia="Times New Roman" w:hAnsi="Times New Roman" w:cs="Times New Roman"/>
        <w:kern w:val="0"/>
        <w:lang w:eastAsia="en-GB"/>
        <w14:ligatures w14:val="none"/>
      </w:rPr>
    </w:pPr>
    <w:r w:rsidRPr="003547BF">
      <w:rPr>
        <w:rFonts w:ascii="Times New Roman" w:eastAsia="Times New Roman" w:hAnsi="Times New Roman" w:cs="Times New Roman"/>
        <w:noProof/>
        <w:kern w:val="0"/>
        <w:lang w:eastAsia="en-GB"/>
        <w14:ligatures w14:val="none"/>
      </w:rPr>
      <w:drawing>
        <wp:anchor distT="0" distB="0" distL="114300" distR="114300" simplePos="0" relativeHeight="251658240" behindDoc="1" locked="0" layoutInCell="1" allowOverlap="1" wp14:anchorId="16ED5227" wp14:editId="506C30A0">
          <wp:simplePos x="0" y="0"/>
          <wp:positionH relativeFrom="column">
            <wp:posOffset>1851660</wp:posOffset>
          </wp:positionH>
          <wp:positionV relativeFrom="paragraph">
            <wp:posOffset>-274320</wp:posOffset>
          </wp:positionV>
          <wp:extent cx="1645920" cy="1023620"/>
          <wp:effectExtent l="0" t="0" r="0" b="5080"/>
          <wp:wrapTight wrapText="bothSides">
            <wp:wrapPolygon edited="0">
              <wp:start x="0" y="0"/>
              <wp:lineTo x="0" y="21305"/>
              <wp:lineTo x="21250" y="21305"/>
              <wp:lineTo x="21250" y="0"/>
              <wp:lineTo x="0" y="0"/>
            </wp:wrapPolygon>
          </wp:wrapTight>
          <wp:docPr id="1" name="Picture 1" descr="An orange circle with white text and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orange circle with white text and an umbrell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A2F07" w14:textId="77777777" w:rsidR="003547BF" w:rsidRDefault="00354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6C3"/>
    <w:multiLevelType w:val="multilevel"/>
    <w:tmpl w:val="4AFC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11C6F"/>
    <w:multiLevelType w:val="multilevel"/>
    <w:tmpl w:val="FC16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54864"/>
    <w:multiLevelType w:val="multilevel"/>
    <w:tmpl w:val="B57C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50211"/>
    <w:multiLevelType w:val="multilevel"/>
    <w:tmpl w:val="00EE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652C1"/>
    <w:multiLevelType w:val="multilevel"/>
    <w:tmpl w:val="E22E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16DC0"/>
    <w:multiLevelType w:val="multilevel"/>
    <w:tmpl w:val="5022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C225D"/>
    <w:multiLevelType w:val="multilevel"/>
    <w:tmpl w:val="ED42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C9625A"/>
    <w:multiLevelType w:val="multilevel"/>
    <w:tmpl w:val="C1DC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61FF3"/>
    <w:multiLevelType w:val="multilevel"/>
    <w:tmpl w:val="B038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F7C4C"/>
    <w:multiLevelType w:val="multilevel"/>
    <w:tmpl w:val="646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BA65D0"/>
    <w:multiLevelType w:val="multilevel"/>
    <w:tmpl w:val="601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CD4D83"/>
    <w:multiLevelType w:val="multilevel"/>
    <w:tmpl w:val="AD8C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B187A"/>
    <w:multiLevelType w:val="multilevel"/>
    <w:tmpl w:val="698C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264C24"/>
    <w:multiLevelType w:val="hybridMultilevel"/>
    <w:tmpl w:val="913C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17986"/>
    <w:multiLevelType w:val="hybridMultilevel"/>
    <w:tmpl w:val="C6F0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A56C9"/>
    <w:multiLevelType w:val="multilevel"/>
    <w:tmpl w:val="6FD6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9A5037"/>
    <w:multiLevelType w:val="multilevel"/>
    <w:tmpl w:val="3B2A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F6185C"/>
    <w:multiLevelType w:val="multilevel"/>
    <w:tmpl w:val="8CD4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912275"/>
    <w:multiLevelType w:val="multilevel"/>
    <w:tmpl w:val="20B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1900DA"/>
    <w:multiLevelType w:val="multilevel"/>
    <w:tmpl w:val="B3C4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586EC0"/>
    <w:multiLevelType w:val="multilevel"/>
    <w:tmpl w:val="2726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5A013F"/>
    <w:multiLevelType w:val="multilevel"/>
    <w:tmpl w:val="0DF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D85998"/>
    <w:multiLevelType w:val="multilevel"/>
    <w:tmpl w:val="CD1A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2902595">
    <w:abstractNumId w:val="9"/>
  </w:num>
  <w:num w:numId="2" w16cid:durableId="1940598902">
    <w:abstractNumId w:val="20"/>
  </w:num>
  <w:num w:numId="3" w16cid:durableId="64038749">
    <w:abstractNumId w:val="19"/>
  </w:num>
  <w:num w:numId="4" w16cid:durableId="1784348676">
    <w:abstractNumId w:val="18"/>
  </w:num>
  <w:num w:numId="5" w16cid:durableId="1339384666">
    <w:abstractNumId w:val="11"/>
  </w:num>
  <w:num w:numId="6" w16cid:durableId="2089420308">
    <w:abstractNumId w:val="15"/>
  </w:num>
  <w:num w:numId="7" w16cid:durableId="945304720">
    <w:abstractNumId w:val="22"/>
  </w:num>
  <w:num w:numId="8" w16cid:durableId="1070612245">
    <w:abstractNumId w:val="0"/>
  </w:num>
  <w:num w:numId="9" w16cid:durableId="983892463">
    <w:abstractNumId w:val="17"/>
  </w:num>
  <w:num w:numId="10" w16cid:durableId="717437444">
    <w:abstractNumId w:val="6"/>
  </w:num>
  <w:num w:numId="11" w16cid:durableId="602612401">
    <w:abstractNumId w:val="2"/>
  </w:num>
  <w:num w:numId="12" w16cid:durableId="327098273">
    <w:abstractNumId w:val="4"/>
  </w:num>
  <w:num w:numId="13" w16cid:durableId="232207268">
    <w:abstractNumId w:val="7"/>
  </w:num>
  <w:num w:numId="14" w16cid:durableId="277876609">
    <w:abstractNumId w:val="16"/>
  </w:num>
  <w:num w:numId="15" w16cid:durableId="1321230326">
    <w:abstractNumId w:val="1"/>
  </w:num>
  <w:num w:numId="16" w16cid:durableId="1651712826">
    <w:abstractNumId w:val="5"/>
  </w:num>
  <w:num w:numId="17" w16cid:durableId="402795813">
    <w:abstractNumId w:val="8"/>
  </w:num>
  <w:num w:numId="18" w16cid:durableId="1652294683">
    <w:abstractNumId w:val="14"/>
  </w:num>
  <w:num w:numId="19" w16cid:durableId="291178057">
    <w:abstractNumId w:val="13"/>
  </w:num>
  <w:num w:numId="20" w16cid:durableId="305009569">
    <w:abstractNumId w:val="12"/>
  </w:num>
  <w:num w:numId="21" w16cid:durableId="966663745">
    <w:abstractNumId w:val="10"/>
  </w:num>
  <w:num w:numId="22" w16cid:durableId="215434484">
    <w:abstractNumId w:val="21"/>
  </w:num>
  <w:num w:numId="23" w16cid:durableId="1673798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C9"/>
    <w:rsid w:val="00057E55"/>
    <w:rsid w:val="000606B8"/>
    <w:rsid w:val="003547BF"/>
    <w:rsid w:val="00426FFF"/>
    <w:rsid w:val="005126D7"/>
    <w:rsid w:val="005913C9"/>
    <w:rsid w:val="0061157E"/>
    <w:rsid w:val="00A020EB"/>
    <w:rsid w:val="00D52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FA42D"/>
  <w15:chartTrackingRefBased/>
  <w15:docId w15:val="{153E5E8E-3DEF-47AA-AAF4-AA4D3094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3C9"/>
    <w:rPr>
      <w:rFonts w:eastAsiaTheme="majorEastAsia" w:cstheme="majorBidi"/>
      <w:color w:val="272727" w:themeColor="text1" w:themeTint="D8"/>
    </w:rPr>
  </w:style>
  <w:style w:type="paragraph" w:styleId="Title">
    <w:name w:val="Title"/>
    <w:basedOn w:val="Normal"/>
    <w:next w:val="Normal"/>
    <w:link w:val="TitleChar"/>
    <w:uiPriority w:val="10"/>
    <w:qFormat/>
    <w:rsid w:val="00591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3C9"/>
    <w:pPr>
      <w:spacing w:before="160"/>
      <w:jc w:val="center"/>
    </w:pPr>
    <w:rPr>
      <w:i/>
      <w:iCs/>
      <w:color w:val="404040" w:themeColor="text1" w:themeTint="BF"/>
    </w:rPr>
  </w:style>
  <w:style w:type="character" w:customStyle="1" w:styleId="QuoteChar">
    <w:name w:val="Quote Char"/>
    <w:basedOn w:val="DefaultParagraphFont"/>
    <w:link w:val="Quote"/>
    <w:uiPriority w:val="29"/>
    <w:rsid w:val="005913C9"/>
    <w:rPr>
      <w:i/>
      <w:iCs/>
      <w:color w:val="404040" w:themeColor="text1" w:themeTint="BF"/>
    </w:rPr>
  </w:style>
  <w:style w:type="paragraph" w:styleId="ListParagraph">
    <w:name w:val="List Paragraph"/>
    <w:basedOn w:val="Normal"/>
    <w:uiPriority w:val="34"/>
    <w:qFormat/>
    <w:rsid w:val="005913C9"/>
    <w:pPr>
      <w:ind w:left="720"/>
      <w:contextualSpacing/>
    </w:pPr>
  </w:style>
  <w:style w:type="character" w:styleId="IntenseEmphasis">
    <w:name w:val="Intense Emphasis"/>
    <w:basedOn w:val="DefaultParagraphFont"/>
    <w:uiPriority w:val="21"/>
    <w:qFormat/>
    <w:rsid w:val="005913C9"/>
    <w:rPr>
      <w:i/>
      <w:iCs/>
      <w:color w:val="0F4761" w:themeColor="accent1" w:themeShade="BF"/>
    </w:rPr>
  </w:style>
  <w:style w:type="paragraph" w:styleId="IntenseQuote">
    <w:name w:val="Intense Quote"/>
    <w:basedOn w:val="Normal"/>
    <w:next w:val="Normal"/>
    <w:link w:val="IntenseQuoteChar"/>
    <w:uiPriority w:val="30"/>
    <w:qFormat/>
    <w:rsid w:val="00591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3C9"/>
    <w:rPr>
      <w:i/>
      <w:iCs/>
      <w:color w:val="0F4761" w:themeColor="accent1" w:themeShade="BF"/>
    </w:rPr>
  </w:style>
  <w:style w:type="character" w:styleId="IntenseReference">
    <w:name w:val="Intense Reference"/>
    <w:basedOn w:val="DefaultParagraphFont"/>
    <w:uiPriority w:val="32"/>
    <w:qFormat/>
    <w:rsid w:val="005913C9"/>
    <w:rPr>
      <w:b/>
      <w:bCs/>
      <w:smallCaps/>
      <w:color w:val="0F4761" w:themeColor="accent1" w:themeShade="BF"/>
      <w:spacing w:val="5"/>
    </w:rPr>
  </w:style>
  <w:style w:type="paragraph" w:styleId="Header">
    <w:name w:val="header"/>
    <w:basedOn w:val="Normal"/>
    <w:link w:val="HeaderChar"/>
    <w:uiPriority w:val="99"/>
    <w:unhideWhenUsed/>
    <w:rsid w:val="00591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C9"/>
  </w:style>
  <w:style w:type="paragraph" w:styleId="Footer">
    <w:name w:val="footer"/>
    <w:basedOn w:val="Normal"/>
    <w:link w:val="FooterChar"/>
    <w:uiPriority w:val="99"/>
    <w:unhideWhenUsed/>
    <w:rsid w:val="00591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C9"/>
  </w:style>
  <w:style w:type="paragraph" w:styleId="NormalWeb">
    <w:name w:val="Normal (Web)"/>
    <w:basedOn w:val="Normal"/>
    <w:uiPriority w:val="99"/>
    <w:semiHidden/>
    <w:unhideWhenUsed/>
    <w:rsid w:val="003547BF"/>
    <w:rPr>
      <w:rFonts w:ascii="Times New Roman" w:hAnsi="Times New Roman" w:cs="Times New Roman"/>
    </w:rPr>
  </w:style>
  <w:style w:type="character" w:styleId="Hyperlink">
    <w:name w:val="Hyperlink"/>
    <w:basedOn w:val="DefaultParagraphFont"/>
    <w:uiPriority w:val="99"/>
    <w:unhideWhenUsed/>
    <w:rsid w:val="00426FFF"/>
    <w:rPr>
      <w:color w:val="467886" w:themeColor="hyperlink"/>
      <w:u w:val="single"/>
    </w:rPr>
  </w:style>
  <w:style w:type="character" w:styleId="UnresolvedMention">
    <w:name w:val="Unresolved Mention"/>
    <w:basedOn w:val="DefaultParagraphFont"/>
    <w:uiPriority w:val="99"/>
    <w:semiHidden/>
    <w:unhideWhenUsed/>
    <w:rsid w:val="0042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41767">
      <w:bodyDiv w:val="1"/>
      <w:marLeft w:val="0"/>
      <w:marRight w:val="0"/>
      <w:marTop w:val="0"/>
      <w:marBottom w:val="0"/>
      <w:divBdr>
        <w:top w:val="none" w:sz="0" w:space="0" w:color="auto"/>
        <w:left w:val="none" w:sz="0" w:space="0" w:color="auto"/>
        <w:bottom w:val="none" w:sz="0" w:space="0" w:color="auto"/>
        <w:right w:val="none" w:sz="0" w:space="0" w:color="auto"/>
      </w:divBdr>
    </w:div>
    <w:div w:id="583732640">
      <w:bodyDiv w:val="1"/>
      <w:marLeft w:val="0"/>
      <w:marRight w:val="0"/>
      <w:marTop w:val="0"/>
      <w:marBottom w:val="0"/>
      <w:divBdr>
        <w:top w:val="none" w:sz="0" w:space="0" w:color="auto"/>
        <w:left w:val="none" w:sz="0" w:space="0" w:color="auto"/>
        <w:bottom w:val="none" w:sz="0" w:space="0" w:color="auto"/>
        <w:right w:val="none" w:sz="0" w:space="0" w:color="auto"/>
      </w:divBdr>
    </w:div>
    <w:div w:id="680279746">
      <w:bodyDiv w:val="1"/>
      <w:marLeft w:val="0"/>
      <w:marRight w:val="0"/>
      <w:marTop w:val="0"/>
      <w:marBottom w:val="0"/>
      <w:divBdr>
        <w:top w:val="none" w:sz="0" w:space="0" w:color="auto"/>
        <w:left w:val="none" w:sz="0" w:space="0" w:color="auto"/>
        <w:bottom w:val="none" w:sz="0" w:space="0" w:color="auto"/>
        <w:right w:val="none" w:sz="0" w:space="0" w:color="auto"/>
      </w:divBdr>
    </w:div>
    <w:div w:id="724716742">
      <w:bodyDiv w:val="1"/>
      <w:marLeft w:val="0"/>
      <w:marRight w:val="0"/>
      <w:marTop w:val="0"/>
      <w:marBottom w:val="0"/>
      <w:divBdr>
        <w:top w:val="none" w:sz="0" w:space="0" w:color="auto"/>
        <w:left w:val="none" w:sz="0" w:space="0" w:color="auto"/>
        <w:bottom w:val="none" w:sz="0" w:space="0" w:color="auto"/>
        <w:right w:val="none" w:sz="0" w:space="0" w:color="auto"/>
      </w:divBdr>
    </w:div>
    <w:div w:id="740105534">
      <w:bodyDiv w:val="1"/>
      <w:marLeft w:val="0"/>
      <w:marRight w:val="0"/>
      <w:marTop w:val="0"/>
      <w:marBottom w:val="0"/>
      <w:divBdr>
        <w:top w:val="none" w:sz="0" w:space="0" w:color="auto"/>
        <w:left w:val="none" w:sz="0" w:space="0" w:color="auto"/>
        <w:bottom w:val="none" w:sz="0" w:space="0" w:color="auto"/>
        <w:right w:val="none" w:sz="0" w:space="0" w:color="auto"/>
      </w:divBdr>
    </w:div>
    <w:div w:id="762843845">
      <w:bodyDiv w:val="1"/>
      <w:marLeft w:val="0"/>
      <w:marRight w:val="0"/>
      <w:marTop w:val="0"/>
      <w:marBottom w:val="0"/>
      <w:divBdr>
        <w:top w:val="none" w:sz="0" w:space="0" w:color="auto"/>
        <w:left w:val="none" w:sz="0" w:space="0" w:color="auto"/>
        <w:bottom w:val="none" w:sz="0" w:space="0" w:color="auto"/>
        <w:right w:val="none" w:sz="0" w:space="0" w:color="auto"/>
      </w:divBdr>
    </w:div>
    <w:div w:id="776366971">
      <w:bodyDiv w:val="1"/>
      <w:marLeft w:val="0"/>
      <w:marRight w:val="0"/>
      <w:marTop w:val="0"/>
      <w:marBottom w:val="0"/>
      <w:divBdr>
        <w:top w:val="none" w:sz="0" w:space="0" w:color="auto"/>
        <w:left w:val="none" w:sz="0" w:space="0" w:color="auto"/>
        <w:bottom w:val="none" w:sz="0" w:space="0" w:color="auto"/>
        <w:right w:val="none" w:sz="0" w:space="0" w:color="auto"/>
      </w:divBdr>
    </w:div>
    <w:div w:id="840586028">
      <w:bodyDiv w:val="1"/>
      <w:marLeft w:val="0"/>
      <w:marRight w:val="0"/>
      <w:marTop w:val="0"/>
      <w:marBottom w:val="0"/>
      <w:divBdr>
        <w:top w:val="none" w:sz="0" w:space="0" w:color="auto"/>
        <w:left w:val="none" w:sz="0" w:space="0" w:color="auto"/>
        <w:bottom w:val="none" w:sz="0" w:space="0" w:color="auto"/>
        <w:right w:val="none" w:sz="0" w:space="0" w:color="auto"/>
      </w:divBdr>
    </w:div>
    <w:div w:id="1149833576">
      <w:bodyDiv w:val="1"/>
      <w:marLeft w:val="0"/>
      <w:marRight w:val="0"/>
      <w:marTop w:val="0"/>
      <w:marBottom w:val="0"/>
      <w:divBdr>
        <w:top w:val="none" w:sz="0" w:space="0" w:color="auto"/>
        <w:left w:val="none" w:sz="0" w:space="0" w:color="auto"/>
        <w:bottom w:val="none" w:sz="0" w:space="0" w:color="auto"/>
        <w:right w:val="none" w:sz="0" w:space="0" w:color="auto"/>
      </w:divBdr>
      <w:divsChild>
        <w:div w:id="820734445">
          <w:marLeft w:val="0"/>
          <w:marRight w:val="0"/>
          <w:marTop w:val="0"/>
          <w:marBottom w:val="0"/>
          <w:divBdr>
            <w:top w:val="none" w:sz="0" w:space="0" w:color="auto"/>
            <w:left w:val="none" w:sz="0" w:space="0" w:color="auto"/>
            <w:bottom w:val="none" w:sz="0" w:space="0" w:color="auto"/>
            <w:right w:val="none" w:sz="0" w:space="0" w:color="auto"/>
          </w:divBdr>
        </w:div>
        <w:div w:id="1583760942">
          <w:marLeft w:val="0"/>
          <w:marRight w:val="0"/>
          <w:marTop w:val="0"/>
          <w:marBottom w:val="0"/>
          <w:divBdr>
            <w:top w:val="none" w:sz="0" w:space="0" w:color="auto"/>
            <w:left w:val="none" w:sz="0" w:space="0" w:color="auto"/>
            <w:bottom w:val="none" w:sz="0" w:space="0" w:color="auto"/>
            <w:right w:val="none" w:sz="0" w:space="0" w:color="auto"/>
          </w:divBdr>
        </w:div>
        <w:div w:id="907350704">
          <w:marLeft w:val="0"/>
          <w:marRight w:val="0"/>
          <w:marTop w:val="0"/>
          <w:marBottom w:val="0"/>
          <w:divBdr>
            <w:top w:val="none" w:sz="0" w:space="0" w:color="auto"/>
            <w:left w:val="none" w:sz="0" w:space="0" w:color="auto"/>
            <w:bottom w:val="none" w:sz="0" w:space="0" w:color="auto"/>
            <w:right w:val="none" w:sz="0" w:space="0" w:color="auto"/>
          </w:divBdr>
        </w:div>
        <w:div w:id="1094592383">
          <w:marLeft w:val="0"/>
          <w:marRight w:val="0"/>
          <w:marTop w:val="0"/>
          <w:marBottom w:val="0"/>
          <w:divBdr>
            <w:top w:val="none" w:sz="0" w:space="0" w:color="auto"/>
            <w:left w:val="none" w:sz="0" w:space="0" w:color="auto"/>
            <w:bottom w:val="none" w:sz="0" w:space="0" w:color="auto"/>
            <w:right w:val="none" w:sz="0" w:space="0" w:color="auto"/>
          </w:divBdr>
        </w:div>
        <w:div w:id="1629506863">
          <w:marLeft w:val="0"/>
          <w:marRight w:val="0"/>
          <w:marTop w:val="0"/>
          <w:marBottom w:val="0"/>
          <w:divBdr>
            <w:top w:val="none" w:sz="0" w:space="0" w:color="auto"/>
            <w:left w:val="none" w:sz="0" w:space="0" w:color="auto"/>
            <w:bottom w:val="none" w:sz="0" w:space="0" w:color="auto"/>
            <w:right w:val="none" w:sz="0" w:space="0" w:color="auto"/>
          </w:divBdr>
        </w:div>
        <w:div w:id="613246130">
          <w:marLeft w:val="0"/>
          <w:marRight w:val="0"/>
          <w:marTop w:val="0"/>
          <w:marBottom w:val="0"/>
          <w:divBdr>
            <w:top w:val="none" w:sz="0" w:space="0" w:color="auto"/>
            <w:left w:val="none" w:sz="0" w:space="0" w:color="auto"/>
            <w:bottom w:val="none" w:sz="0" w:space="0" w:color="auto"/>
            <w:right w:val="none" w:sz="0" w:space="0" w:color="auto"/>
          </w:divBdr>
        </w:div>
        <w:div w:id="488518428">
          <w:marLeft w:val="0"/>
          <w:marRight w:val="0"/>
          <w:marTop w:val="0"/>
          <w:marBottom w:val="0"/>
          <w:divBdr>
            <w:top w:val="none" w:sz="0" w:space="0" w:color="auto"/>
            <w:left w:val="none" w:sz="0" w:space="0" w:color="auto"/>
            <w:bottom w:val="none" w:sz="0" w:space="0" w:color="auto"/>
            <w:right w:val="none" w:sz="0" w:space="0" w:color="auto"/>
          </w:divBdr>
        </w:div>
        <w:div w:id="1254389734">
          <w:marLeft w:val="0"/>
          <w:marRight w:val="0"/>
          <w:marTop w:val="0"/>
          <w:marBottom w:val="0"/>
          <w:divBdr>
            <w:top w:val="none" w:sz="0" w:space="0" w:color="auto"/>
            <w:left w:val="none" w:sz="0" w:space="0" w:color="auto"/>
            <w:bottom w:val="none" w:sz="0" w:space="0" w:color="auto"/>
            <w:right w:val="none" w:sz="0" w:space="0" w:color="auto"/>
          </w:divBdr>
        </w:div>
        <w:div w:id="1465271962">
          <w:marLeft w:val="0"/>
          <w:marRight w:val="0"/>
          <w:marTop w:val="0"/>
          <w:marBottom w:val="0"/>
          <w:divBdr>
            <w:top w:val="none" w:sz="0" w:space="0" w:color="auto"/>
            <w:left w:val="none" w:sz="0" w:space="0" w:color="auto"/>
            <w:bottom w:val="none" w:sz="0" w:space="0" w:color="auto"/>
            <w:right w:val="none" w:sz="0" w:space="0" w:color="auto"/>
          </w:divBdr>
        </w:div>
        <w:div w:id="1562869240">
          <w:marLeft w:val="0"/>
          <w:marRight w:val="0"/>
          <w:marTop w:val="0"/>
          <w:marBottom w:val="0"/>
          <w:divBdr>
            <w:top w:val="none" w:sz="0" w:space="0" w:color="auto"/>
            <w:left w:val="none" w:sz="0" w:space="0" w:color="auto"/>
            <w:bottom w:val="none" w:sz="0" w:space="0" w:color="auto"/>
            <w:right w:val="none" w:sz="0" w:space="0" w:color="auto"/>
          </w:divBdr>
        </w:div>
      </w:divsChild>
    </w:div>
    <w:div w:id="1161890335">
      <w:bodyDiv w:val="1"/>
      <w:marLeft w:val="0"/>
      <w:marRight w:val="0"/>
      <w:marTop w:val="0"/>
      <w:marBottom w:val="0"/>
      <w:divBdr>
        <w:top w:val="none" w:sz="0" w:space="0" w:color="auto"/>
        <w:left w:val="none" w:sz="0" w:space="0" w:color="auto"/>
        <w:bottom w:val="none" w:sz="0" w:space="0" w:color="auto"/>
        <w:right w:val="none" w:sz="0" w:space="0" w:color="auto"/>
      </w:divBdr>
      <w:divsChild>
        <w:div w:id="989791485">
          <w:marLeft w:val="0"/>
          <w:marRight w:val="0"/>
          <w:marTop w:val="0"/>
          <w:marBottom w:val="0"/>
          <w:divBdr>
            <w:top w:val="none" w:sz="0" w:space="0" w:color="auto"/>
            <w:left w:val="none" w:sz="0" w:space="0" w:color="auto"/>
            <w:bottom w:val="none" w:sz="0" w:space="0" w:color="auto"/>
            <w:right w:val="none" w:sz="0" w:space="0" w:color="auto"/>
          </w:divBdr>
        </w:div>
        <w:div w:id="1744796578">
          <w:marLeft w:val="0"/>
          <w:marRight w:val="0"/>
          <w:marTop w:val="0"/>
          <w:marBottom w:val="0"/>
          <w:divBdr>
            <w:top w:val="none" w:sz="0" w:space="0" w:color="auto"/>
            <w:left w:val="none" w:sz="0" w:space="0" w:color="auto"/>
            <w:bottom w:val="none" w:sz="0" w:space="0" w:color="auto"/>
            <w:right w:val="none" w:sz="0" w:space="0" w:color="auto"/>
          </w:divBdr>
        </w:div>
        <w:div w:id="1792505869">
          <w:marLeft w:val="0"/>
          <w:marRight w:val="0"/>
          <w:marTop w:val="0"/>
          <w:marBottom w:val="0"/>
          <w:divBdr>
            <w:top w:val="none" w:sz="0" w:space="0" w:color="auto"/>
            <w:left w:val="none" w:sz="0" w:space="0" w:color="auto"/>
            <w:bottom w:val="none" w:sz="0" w:space="0" w:color="auto"/>
            <w:right w:val="none" w:sz="0" w:space="0" w:color="auto"/>
          </w:divBdr>
        </w:div>
        <w:div w:id="1285964094">
          <w:marLeft w:val="0"/>
          <w:marRight w:val="0"/>
          <w:marTop w:val="0"/>
          <w:marBottom w:val="0"/>
          <w:divBdr>
            <w:top w:val="none" w:sz="0" w:space="0" w:color="auto"/>
            <w:left w:val="none" w:sz="0" w:space="0" w:color="auto"/>
            <w:bottom w:val="none" w:sz="0" w:space="0" w:color="auto"/>
            <w:right w:val="none" w:sz="0" w:space="0" w:color="auto"/>
          </w:divBdr>
        </w:div>
        <w:div w:id="1047533117">
          <w:marLeft w:val="0"/>
          <w:marRight w:val="0"/>
          <w:marTop w:val="0"/>
          <w:marBottom w:val="0"/>
          <w:divBdr>
            <w:top w:val="none" w:sz="0" w:space="0" w:color="auto"/>
            <w:left w:val="none" w:sz="0" w:space="0" w:color="auto"/>
            <w:bottom w:val="none" w:sz="0" w:space="0" w:color="auto"/>
            <w:right w:val="none" w:sz="0" w:space="0" w:color="auto"/>
          </w:divBdr>
        </w:div>
        <w:div w:id="671178158">
          <w:marLeft w:val="0"/>
          <w:marRight w:val="0"/>
          <w:marTop w:val="0"/>
          <w:marBottom w:val="0"/>
          <w:divBdr>
            <w:top w:val="none" w:sz="0" w:space="0" w:color="auto"/>
            <w:left w:val="none" w:sz="0" w:space="0" w:color="auto"/>
            <w:bottom w:val="none" w:sz="0" w:space="0" w:color="auto"/>
            <w:right w:val="none" w:sz="0" w:space="0" w:color="auto"/>
          </w:divBdr>
        </w:div>
        <w:div w:id="17246569">
          <w:marLeft w:val="0"/>
          <w:marRight w:val="0"/>
          <w:marTop w:val="0"/>
          <w:marBottom w:val="0"/>
          <w:divBdr>
            <w:top w:val="none" w:sz="0" w:space="0" w:color="auto"/>
            <w:left w:val="none" w:sz="0" w:space="0" w:color="auto"/>
            <w:bottom w:val="none" w:sz="0" w:space="0" w:color="auto"/>
            <w:right w:val="none" w:sz="0" w:space="0" w:color="auto"/>
          </w:divBdr>
        </w:div>
        <w:div w:id="908930112">
          <w:marLeft w:val="0"/>
          <w:marRight w:val="0"/>
          <w:marTop w:val="0"/>
          <w:marBottom w:val="0"/>
          <w:divBdr>
            <w:top w:val="none" w:sz="0" w:space="0" w:color="auto"/>
            <w:left w:val="none" w:sz="0" w:space="0" w:color="auto"/>
            <w:bottom w:val="none" w:sz="0" w:space="0" w:color="auto"/>
            <w:right w:val="none" w:sz="0" w:space="0" w:color="auto"/>
          </w:divBdr>
        </w:div>
        <w:div w:id="560405543">
          <w:marLeft w:val="0"/>
          <w:marRight w:val="0"/>
          <w:marTop w:val="0"/>
          <w:marBottom w:val="0"/>
          <w:divBdr>
            <w:top w:val="none" w:sz="0" w:space="0" w:color="auto"/>
            <w:left w:val="none" w:sz="0" w:space="0" w:color="auto"/>
            <w:bottom w:val="none" w:sz="0" w:space="0" w:color="auto"/>
            <w:right w:val="none" w:sz="0" w:space="0" w:color="auto"/>
          </w:divBdr>
        </w:div>
        <w:div w:id="1438790047">
          <w:marLeft w:val="0"/>
          <w:marRight w:val="0"/>
          <w:marTop w:val="0"/>
          <w:marBottom w:val="0"/>
          <w:divBdr>
            <w:top w:val="none" w:sz="0" w:space="0" w:color="auto"/>
            <w:left w:val="none" w:sz="0" w:space="0" w:color="auto"/>
            <w:bottom w:val="none" w:sz="0" w:space="0" w:color="auto"/>
            <w:right w:val="none" w:sz="0" w:space="0" w:color="auto"/>
          </w:divBdr>
        </w:div>
      </w:divsChild>
    </w:div>
    <w:div w:id="1236162605">
      <w:bodyDiv w:val="1"/>
      <w:marLeft w:val="0"/>
      <w:marRight w:val="0"/>
      <w:marTop w:val="0"/>
      <w:marBottom w:val="0"/>
      <w:divBdr>
        <w:top w:val="none" w:sz="0" w:space="0" w:color="auto"/>
        <w:left w:val="none" w:sz="0" w:space="0" w:color="auto"/>
        <w:bottom w:val="none" w:sz="0" w:space="0" w:color="auto"/>
        <w:right w:val="none" w:sz="0" w:space="0" w:color="auto"/>
      </w:divBdr>
    </w:div>
    <w:div w:id="1860042940">
      <w:bodyDiv w:val="1"/>
      <w:marLeft w:val="0"/>
      <w:marRight w:val="0"/>
      <w:marTop w:val="0"/>
      <w:marBottom w:val="0"/>
      <w:divBdr>
        <w:top w:val="none" w:sz="0" w:space="0" w:color="auto"/>
        <w:left w:val="none" w:sz="0" w:space="0" w:color="auto"/>
        <w:bottom w:val="none" w:sz="0" w:space="0" w:color="auto"/>
        <w:right w:val="none" w:sz="0" w:space="0" w:color="auto"/>
      </w:divBdr>
    </w:div>
    <w:div w:id="18784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livia@thecwc.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ac856cea62487890a85236c106c4375f">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f5ad42168797803587bab23a3c50b18d"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2c2d8-ed6c-418b-9681-3c119b5a4b55"/>
    <lcf76f155ced4ddcb4097134ff3c332f xmlns="cf24264e-50f6-4d33-960b-0955e876a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F8D3F4-231F-4EB5-9191-6D962E11C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27AD0-C8C0-4C6B-8A87-4B1C7D8B06D8}">
  <ds:schemaRefs>
    <ds:schemaRef ds:uri="http://schemas.microsoft.com/sharepoint/v3/contenttype/forms"/>
  </ds:schemaRefs>
</ds:datastoreItem>
</file>

<file path=customXml/itemProps3.xml><?xml version="1.0" encoding="utf-8"?>
<ds:datastoreItem xmlns:ds="http://schemas.openxmlformats.org/officeDocument/2006/customXml" ds:itemID="{D256D3F3-3E4F-4301-8AC2-A121673BCE1D}">
  <ds:schemaRef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b672c2d8-ed6c-418b-9681-3c119b5a4b55"/>
    <ds:schemaRef ds:uri="http://purl.org/dc/elements/1.1/"/>
    <ds:schemaRef ds:uri="http://schemas.microsoft.com/office/infopath/2007/PartnerControls"/>
    <ds:schemaRef ds:uri="cf24264e-50f6-4d33-960b-0955e876a3e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Firth</dc:creator>
  <cp:keywords/>
  <dc:description/>
  <cp:lastModifiedBy>Olivia Firth</cp:lastModifiedBy>
  <cp:revision>2</cp:revision>
  <dcterms:created xsi:type="dcterms:W3CDTF">2025-07-22T09:07:00Z</dcterms:created>
  <dcterms:modified xsi:type="dcterms:W3CDTF">2025-07-22T09:07:00Z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ies>
</file>